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284" w:line="240" w:lineRule="auto"/>
        <w:ind w:right="-336"/>
        <w:jc w:val="right"/>
        <w:rPr>
          <w:rFonts w:ascii="Arial Narrow" w:cs="Arial Narrow" w:eastAsia="Arial Narrow" w:hAnsi="Arial Narrow"/>
          <w:b w:val="1"/>
          <w:sz w:val="20"/>
          <w:szCs w:val="20"/>
        </w:rPr>
      </w:pPr>
      <w:r w:rsidDel="00000000" w:rsidR="00000000" w:rsidRPr="00000000">
        <w:rPr>
          <w:rFonts w:ascii="Times New Roman" w:cs="Times New Roman" w:eastAsia="Times New Roman" w:hAnsi="Times New Roman"/>
          <w:sz w:val="24"/>
          <w:szCs w:val="24"/>
          <w:rtl w:val="0"/>
        </w:rPr>
        <w:t xml:space="preserve"> </w:t>
        <w:tab/>
        <w:tab/>
        <w:tab/>
        <w:tab/>
        <w:tab/>
        <w:tab/>
        <w:tab/>
      </w:r>
      <w:r w:rsidDel="00000000" w:rsidR="00000000" w:rsidRPr="00000000">
        <w:rPr>
          <w:rFonts w:ascii="Arial Narrow" w:cs="Arial Narrow" w:eastAsia="Arial Narrow" w:hAnsi="Arial Narrow"/>
          <w:b w:val="1"/>
          <w:sz w:val="20"/>
          <w:szCs w:val="20"/>
          <w:rtl w:val="0"/>
        </w:rPr>
        <w:t xml:space="preserve">PT JAKARTA TOURISINDO </w:t>
      </w:r>
      <w:r w:rsidDel="00000000" w:rsidR="00000000" w:rsidRPr="00000000">
        <w:drawing>
          <wp:anchor allowOverlap="1" behindDoc="0" distB="114300" distT="114300" distL="114300" distR="114300" hidden="0" layoutInCell="1" locked="0" relativeHeight="0" simplePos="0">
            <wp:simplePos x="0" y="0"/>
            <wp:positionH relativeFrom="column">
              <wp:posOffset>-185191</wp:posOffset>
            </wp:positionH>
            <wp:positionV relativeFrom="paragraph">
              <wp:posOffset>304</wp:posOffset>
            </wp:positionV>
            <wp:extent cx="1157922" cy="790732"/>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57922" cy="790732"/>
                    </a:xfrm>
                    <a:prstGeom prst="rect"/>
                    <a:ln/>
                  </pic:spPr>
                </pic:pic>
              </a:graphicData>
            </a:graphic>
          </wp:anchor>
        </w:drawing>
      </w:r>
    </w:p>
    <w:p w:rsidR="00000000" w:rsidDel="00000000" w:rsidP="00000000" w:rsidRDefault="00000000" w:rsidRPr="00000000" w14:paraId="00000002">
      <w:pPr>
        <w:widowControl w:val="0"/>
        <w:spacing w:before="8" w:line="240" w:lineRule="auto"/>
        <w:ind w:right="-336"/>
        <w:jc w:val="right"/>
        <w:rPr>
          <w:rFonts w:ascii="Calibri" w:cs="Calibri" w:eastAsia="Calibri" w:hAnsi="Calibri"/>
          <w:color w:val="1f1f1f"/>
          <w:sz w:val="21"/>
          <w:szCs w:val="21"/>
          <w:highlight w:val="white"/>
        </w:rPr>
      </w:pPr>
      <w:r w:rsidDel="00000000" w:rsidR="00000000" w:rsidRPr="00000000">
        <w:rPr>
          <w:rFonts w:ascii="Arial Narrow" w:cs="Arial Narrow" w:eastAsia="Arial Narrow" w:hAnsi="Arial Narrow"/>
          <w:b w:val="1"/>
          <w:sz w:val="20"/>
          <w:szCs w:val="20"/>
          <w:rtl w:val="0"/>
        </w:rPr>
        <w:t xml:space="preserve">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1f1f1f"/>
          <w:sz w:val="21"/>
          <w:szCs w:val="21"/>
          <w:highlight w:val="white"/>
          <w:rtl w:val="0"/>
        </w:rPr>
        <w:t xml:space="preserve">Jl. Letjen Suprapto No.62</w:t>
      </w:r>
    </w:p>
    <w:p w:rsidR="00000000" w:rsidDel="00000000" w:rsidP="00000000" w:rsidRDefault="00000000" w:rsidRPr="00000000" w14:paraId="00000003">
      <w:pPr>
        <w:widowControl w:val="0"/>
        <w:spacing w:before="8" w:line="240" w:lineRule="auto"/>
        <w:ind w:right="-336"/>
        <w:jc w:val="right"/>
        <w:rPr>
          <w:rFonts w:ascii="Calibri" w:cs="Calibri" w:eastAsia="Calibri" w:hAnsi="Calibri"/>
          <w:color w:val="1f1f1f"/>
          <w:sz w:val="21"/>
          <w:szCs w:val="21"/>
          <w:highlight w:val="white"/>
        </w:rPr>
      </w:pPr>
      <w:r w:rsidDel="00000000" w:rsidR="00000000" w:rsidRPr="00000000">
        <w:rPr>
          <w:rFonts w:ascii="Calibri" w:cs="Calibri" w:eastAsia="Calibri" w:hAnsi="Calibri"/>
          <w:color w:val="1f1f1f"/>
          <w:sz w:val="21"/>
          <w:szCs w:val="21"/>
          <w:highlight w:val="white"/>
          <w:rtl w:val="0"/>
        </w:rPr>
        <w:t xml:space="preserve">Cempaka Putih. Jakarta Pusat</w:t>
      </w:r>
    </w:p>
    <w:p w:rsidR="00000000" w:rsidDel="00000000" w:rsidP="00000000" w:rsidRDefault="00000000" w:rsidRPr="00000000" w14:paraId="00000004">
      <w:pPr>
        <w:widowControl w:val="0"/>
        <w:spacing w:before="8" w:line="240" w:lineRule="auto"/>
        <w:ind w:right="-336"/>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DKI Jakarta, Indonesia</w:t>
      </w:r>
    </w:p>
    <w:p w:rsidR="00000000" w:rsidDel="00000000" w:rsidP="00000000" w:rsidRDefault="00000000" w:rsidRPr="00000000" w14:paraId="00000005">
      <w:pPr>
        <w:widowControl w:val="0"/>
        <w:spacing w:before="8" w:line="240" w:lineRule="auto"/>
        <w:ind w:right="-336"/>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widowControl w:val="0"/>
        <w:spacing w:after="240" w:before="240" w:line="240" w:lineRule="auto"/>
        <w:ind w:left="-283.46456692913375" w:right="-324.3307086614169"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7">
      <w:pPr>
        <w:widowControl w:val="0"/>
        <w:spacing w:after="240" w:before="240" w:line="240" w:lineRule="auto"/>
        <w:ind w:left="-283.46456692913375" w:right="-324.3307086614169" w:firstLine="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JXB Sambut Kunjungan DPRD Kota Mojokerto untuk Bahas Pengembangan Pariwisata dan APBD 2025</w:t>
      </w:r>
      <w:r w:rsidDel="00000000" w:rsidR="00000000" w:rsidRPr="00000000">
        <w:drawing>
          <wp:anchor allowOverlap="1" behindDoc="0" distB="114300" distT="114300" distL="114300" distR="114300" hidden="0" layoutInCell="1" locked="0" relativeHeight="0" simplePos="0">
            <wp:simplePos x="0" y="0"/>
            <wp:positionH relativeFrom="column">
              <wp:posOffset>519178</wp:posOffset>
            </wp:positionH>
            <wp:positionV relativeFrom="paragraph">
              <wp:posOffset>342900</wp:posOffset>
            </wp:positionV>
            <wp:extent cx="4843397" cy="4190464"/>
            <wp:effectExtent b="0" l="0" r="0" t="0"/>
            <wp:wrapTopAndBottom distB="114300" distT="114300"/>
            <wp:docPr id="1" name="image2.jpg"/>
            <a:graphic>
              <a:graphicData uri="http://schemas.openxmlformats.org/drawingml/2006/picture">
                <pic:pic>
                  <pic:nvPicPr>
                    <pic:cNvPr id="0" name="image2.jpg"/>
                    <pic:cNvPicPr preferRelativeResize="0"/>
                  </pic:nvPicPr>
                  <pic:blipFill>
                    <a:blip r:embed="rId7"/>
                    <a:srcRect b="0" l="0" r="0" t="13099"/>
                    <a:stretch>
                      <a:fillRect/>
                    </a:stretch>
                  </pic:blipFill>
                  <pic:spPr>
                    <a:xfrm>
                      <a:off x="0" y="0"/>
                      <a:ext cx="4843397" cy="4190464"/>
                    </a:xfrm>
                    <a:prstGeom prst="rect"/>
                    <a:ln/>
                  </pic:spPr>
                </pic:pic>
              </a:graphicData>
            </a:graphic>
          </wp:anchor>
        </w:drawing>
      </w:r>
    </w:p>
    <w:p w:rsidR="00000000" w:rsidDel="00000000" w:rsidP="00000000" w:rsidRDefault="00000000" w:rsidRPr="00000000" w14:paraId="00000008">
      <w:pPr>
        <w:widowControl w:val="0"/>
        <w:spacing w:after="240" w:before="240" w:line="240" w:lineRule="auto"/>
        <w:ind w:left="-283.46456692913375" w:right="-324.3307086614169"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br w:type="textWrapping"/>
        <w:t xml:space="preserve">Jakarta, 30 Oktober 2024 </w:t>
      </w:r>
      <w:r w:rsidDel="00000000" w:rsidR="00000000" w:rsidRPr="00000000">
        <w:rPr>
          <w:rFonts w:ascii="Arial Narrow" w:cs="Arial Narrow" w:eastAsia="Arial Narrow" w:hAnsi="Arial Narrow"/>
          <w:sz w:val="24"/>
          <w:szCs w:val="24"/>
          <w:rtl w:val="0"/>
        </w:rPr>
        <w:t xml:space="preserve">– PT Jakarta Tourisindo (Perseroda)/ Jakarta Experience Board (JXB) menerima kunjungan DPRD Kota Mojokerto di kantor pusat JXB pada Rabu (30/10). Kunjungan ini bertujuan untuk membahas pengembangan pariwisata dan rancangan Peraturan Daerah tentang APBD Tahun Anggaran 2025, serta mempererat hubungan antara kedua pihak.</w:t>
      </w:r>
    </w:p>
    <w:p w:rsidR="00000000" w:rsidDel="00000000" w:rsidP="00000000" w:rsidRDefault="00000000" w:rsidRPr="00000000" w14:paraId="00000009">
      <w:pPr>
        <w:widowControl w:val="0"/>
        <w:spacing w:after="240" w:before="240" w:line="240" w:lineRule="auto"/>
        <w:ind w:left="-283.46456692913375" w:right="-324.3307086614169"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Kunjungan tersebut dihadiri oleh Ketua Komisi II DPRD Mojokerto, Bapak H. Hartono, dan Wakil Ketua Komisi II, Bapak H. Arif Winarko, bersama jajaran lainnya dan disambut langsung oleh Direktur Utama JXB, Bapak Yunn Bali Mohammad Yusuf, beserta tim dari JXB yang siap berdiskusi mengenai potensi pariwisata di Kota Mojokerto.</w:t>
      </w:r>
    </w:p>
    <w:p w:rsidR="00000000" w:rsidDel="00000000" w:rsidP="00000000" w:rsidRDefault="00000000" w:rsidRPr="00000000" w14:paraId="0000000A">
      <w:pPr>
        <w:widowControl w:val="0"/>
        <w:spacing w:after="240" w:before="240" w:line="240" w:lineRule="auto"/>
        <w:ind w:left="-283.46456692913375" w:right="-324.3307086614169"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Direktur Utama JXB, Bapak Yunn Bali Mohammad Yusuf, menyampaikan apresiasinya atas kunjungan ini. “Kami melihat potensi pariwisata yang baik di Kota Mojokerto dan berharap agar diskusi ini membawa manfaat positif, sekaligus membuka peluang kolaborasi dengan JXB di masa mendatang,” ujarnya.</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