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84" w:line="240" w:lineRule="auto"/>
        <w:ind w:right="-336"/>
        <w:jc w:val="right"/>
        <w:rPr>
          <w:rFonts w:ascii="Arial Narrow" w:cs="Arial Narrow" w:eastAsia="Arial Narrow" w:hAnsi="Arial Narrow"/>
          <w:b w:val="1"/>
          <w:sz w:val="20"/>
          <w:szCs w:val="20"/>
        </w:rPr>
      </w:pPr>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Arial Narrow" w:cs="Arial Narrow" w:eastAsia="Arial Narrow" w:hAnsi="Arial Narrow"/>
          <w:b w:val="1"/>
          <w:sz w:val="20"/>
          <w:szCs w:val="20"/>
          <w:rtl w:val="0"/>
        </w:rPr>
        <w:t xml:space="preserve">PT JAKARTA TOURISINDO </w:t>
      </w:r>
      <w:r w:rsidDel="00000000" w:rsidR="00000000" w:rsidRPr="00000000">
        <w:drawing>
          <wp:anchor allowOverlap="1" behindDoc="0" distB="114300" distT="114300" distL="114300" distR="114300" hidden="0" layoutInCell="1" locked="0" relativeHeight="0" simplePos="0">
            <wp:simplePos x="0" y="0"/>
            <wp:positionH relativeFrom="column">
              <wp:posOffset>-185191</wp:posOffset>
            </wp:positionH>
            <wp:positionV relativeFrom="paragraph">
              <wp:posOffset>304</wp:posOffset>
            </wp:positionV>
            <wp:extent cx="1157922" cy="790732"/>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57922" cy="790732"/>
                    </a:xfrm>
                    <a:prstGeom prst="rect"/>
                    <a:ln/>
                  </pic:spPr>
                </pic:pic>
              </a:graphicData>
            </a:graphic>
          </wp:anchor>
        </w:drawing>
      </w:r>
    </w:p>
    <w:p w:rsidR="00000000" w:rsidDel="00000000" w:rsidP="00000000" w:rsidRDefault="00000000" w:rsidRPr="00000000" w14:paraId="00000002">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1f1f1f"/>
          <w:sz w:val="21"/>
          <w:szCs w:val="21"/>
          <w:highlight w:val="white"/>
          <w:rtl w:val="0"/>
        </w:rPr>
        <w:t xml:space="preserve">Jl. Letjen Suprapto No.62</w:t>
      </w:r>
    </w:p>
    <w:p w:rsidR="00000000" w:rsidDel="00000000" w:rsidP="00000000" w:rsidRDefault="00000000" w:rsidRPr="00000000" w14:paraId="00000003">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Calibri" w:cs="Calibri" w:eastAsia="Calibri" w:hAnsi="Calibri"/>
          <w:color w:val="1f1f1f"/>
          <w:sz w:val="21"/>
          <w:szCs w:val="21"/>
          <w:highlight w:val="white"/>
          <w:rtl w:val="0"/>
        </w:rPr>
        <w:t xml:space="preserve">Cempaka Putih. Jakarta Pusat</w:t>
      </w:r>
    </w:p>
    <w:p w:rsidR="00000000" w:rsidDel="00000000" w:rsidP="00000000" w:rsidRDefault="00000000" w:rsidRPr="00000000" w14:paraId="00000004">
      <w:pPr>
        <w:widowControl w:val="0"/>
        <w:spacing w:before="8" w:line="240" w:lineRule="auto"/>
        <w:ind w:right="-336"/>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DKI Jakarta, Indonesia</w:t>
      </w:r>
    </w:p>
    <w:p w:rsidR="00000000" w:rsidDel="00000000" w:rsidP="00000000" w:rsidRDefault="00000000" w:rsidRPr="00000000" w14:paraId="00000005">
      <w:pPr>
        <w:widowControl w:val="0"/>
        <w:spacing w:before="8" w:line="240" w:lineRule="auto"/>
        <w:ind w:right="-336"/>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widowControl w:val="0"/>
        <w:spacing w:before="8" w:line="240" w:lineRule="auto"/>
        <w:ind w:right="-336"/>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widowControl w:val="0"/>
        <w:spacing w:after="240" w:before="240" w:line="240" w:lineRule="auto"/>
        <w:ind w:left="-283.46456692913375" w:right="-324.3307086614169"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8">
      <w:pPr>
        <w:widowControl w:val="0"/>
        <w:spacing w:after="240" w:before="240" w:line="240" w:lineRule="auto"/>
        <w:ind w:left="-283.46456692913375" w:right="-324.3307086614169" w:firstLine="0"/>
        <w:jc w:val="center"/>
        <w:rPr>
          <w:rFonts w:ascii="Arial Narrow" w:cs="Arial Narrow" w:eastAsia="Arial Narrow" w:hAnsi="Arial Narrow"/>
          <w:b w:val="1"/>
          <w:sz w:val="36"/>
          <w:szCs w:val="36"/>
          <w:highlight w:val="white"/>
        </w:rPr>
      </w:pPr>
      <w:r w:rsidDel="00000000" w:rsidR="00000000" w:rsidRPr="00000000">
        <w:rPr>
          <w:rFonts w:ascii="Arial Narrow" w:cs="Arial Narrow" w:eastAsia="Arial Narrow" w:hAnsi="Arial Narrow"/>
          <w:b w:val="1"/>
          <w:sz w:val="36"/>
          <w:szCs w:val="36"/>
          <w:highlight w:val="white"/>
          <w:rtl w:val="0"/>
        </w:rPr>
        <w:t xml:space="preserve">PT Jakarta Tourisindo (Perseroda) Salurkan Bantuan untuk</w:t>
      </w:r>
    </w:p>
    <w:p w:rsidR="00000000" w:rsidDel="00000000" w:rsidP="00000000" w:rsidRDefault="00000000" w:rsidRPr="00000000" w14:paraId="00000009">
      <w:pPr>
        <w:widowControl w:val="0"/>
        <w:spacing w:after="240" w:before="240" w:line="240" w:lineRule="auto"/>
        <w:ind w:left="-283.46456692913375" w:right="-324.3307086614169" w:firstLine="0"/>
        <w:jc w:val="center"/>
        <w:rPr>
          <w:rFonts w:ascii="Arial Narrow" w:cs="Arial Narrow" w:eastAsia="Arial Narrow" w:hAnsi="Arial Narrow"/>
          <w:b w:val="1"/>
          <w:sz w:val="36"/>
          <w:szCs w:val="36"/>
          <w:highlight w:val="white"/>
        </w:rPr>
      </w:pPr>
      <w:r w:rsidDel="00000000" w:rsidR="00000000" w:rsidRPr="00000000">
        <w:rPr>
          <w:rFonts w:ascii="Arial Narrow" w:cs="Arial Narrow" w:eastAsia="Arial Narrow" w:hAnsi="Arial Narrow"/>
          <w:b w:val="1"/>
          <w:sz w:val="36"/>
          <w:szCs w:val="36"/>
          <w:highlight w:val="white"/>
          <w:rtl w:val="0"/>
        </w:rPr>
        <w:t xml:space="preserve">Korban Banjir di Jakarta Timur</w:t>
      </w:r>
    </w:p>
    <w:p w:rsidR="00000000" w:rsidDel="00000000" w:rsidP="00000000" w:rsidRDefault="00000000" w:rsidRPr="00000000" w14:paraId="0000000A">
      <w:pPr>
        <w:widowControl w:val="0"/>
        <w:spacing w:after="240" w:before="240" w:line="240" w:lineRule="auto"/>
        <w:ind w:left="-1133.8582677165355" w:right="-1316.4566929133848" w:firstLine="0"/>
        <w:jc w:val="center"/>
        <w:rPr>
          <w:rFonts w:ascii="Arial Narrow" w:cs="Arial Narrow" w:eastAsia="Arial Narrow" w:hAnsi="Arial Narrow"/>
          <w:b w:val="1"/>
          <w:sz w:val="36"/>
          <w:szCs w:val="36"/>
          <w:highlight w:val="white"/>
        </w:rPr>
      </w:pPr>
      <w:r w:rsidDel="00000000" w:rsidR="00000000" w:rsidRPr="00000000">
        <w:rPr>
          <w:rFonts w:ascii="Arial Narrow" w:cs="Arial Narrow" w:eastAsia="Arial Narrow" w:hAnsi="Arial Narrow"/>
          <w:b w:val="1"/>
          <w:sz w:val="36"/>
          <w:szCs w:val="36"/>
          <w:highlight w:val="white"/>
        </w:rPr>
        <w:drawing>
          <wp:inline distB="114300" distT="114300" distL="114300" distR="114300">
            <wp:extent cx="3324624" cy="2486561"/>
            <wp:effectExtent b="0" l="0" r="0" t="0"/>
            <wp:docPr id="1" name="image3.jpg"/>
            <a:graphic>
              <a:graphicData uri="http://schemas.openxmlformats.org/drawingml/2006/picture">
                <pic:pic>
                  <pic:nvPicPr>
                    <pic:cNvPr id="0" name="image3.jpg"/>
                    <pic:cNvPicPr preferRelativeResize="0"/>
                  </pic:nvPicPr>
                  <pic:blipFill>
                    <a:blip r:embed="rId7"/>
                    <a:srcRect b="23734" l="22985" r="29226" t="28747"/>
                    <a:stretch>
                      <a:fillRect/>
                    </a:stretch>
                  </pic:blipFill>
                  <pic:spPr>
                    <a:xfrm>
                      <a:off x="0" y="0"/>
                      <a:ext cx="3324624" cy="2486561"/>
                    </a:xfrm>
                    <a:prstGeom prst="rect"/>
                    <a:ln/>
                  </pic:spPr>
                </pic:pic>
              </a:graphicData>
            </a:graphic>
          </wp:inline>
        </w:drawing>
      </w:r>
      <w:r w:rsidDel="00000000" w:rsidR="00000000" w:rsidRPr="00000000">
        <w:rPr>
          <w:rFonts w:ascii="Arial Narrow" w:cs="Arial Narrow" w:eastAsia="Arial Narrow" w:hAnsi="Arial Narrow"/>
          <w:b w:val="1"/>
          <w:sz w:val="36"/>
          <w:szCs w:val="36"/>
          <w:highlight w:val="white"/>
        </w:rPr>
        <w:drawing>
          <wp:inline distB="114300" distT="114300" distL="114300" distR="114300">
            <wp:extent cx="3305175" cy="2519898"/>
            <wp:effectExtent b="0" l="0" r="0" t="0"/>
            <wp:docPr id="2" name="image1.jpg"/>
            <a:graphic>
              <a:graphicData uri="http://schemas.openxmlformats.org/drawingml/2006/picture">
                <pic:pic>
                  <pic:nvPicPr>
                    <pic:cNvPr id="0" name="image1.jpg"/>
                    <pic:cNvPicPr preferRelativeResize="0"/>
                  </pic:nvPicPr>
                  <pic:blipFill>
                    <a:blip r:embed="rId8"/>
                    <a:srcRect b="10358" l="19440" r="4357" t="10076"/>
                    <a:stretch>
                      <a:fillRect/>
                    </a:stretch>
                  </pic:blipFill>
                  <pic:spPr>
                    <a:xfrm>
                      <a:off x="0" y="0"/>
                      <a:ext cx="3305175" cy="251989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Jakarta Experience Board (JXB)/PT Jakarta Tourisindo (Perseroda) memberikan dukungan terhadap warga yang terdampak banjir di wilayah Jakarta Timur dan sekitarnya dengan menyalurkan bantuan berupa kebutuhan makanan pokok. Bantuan ini diberikan guna meringankan beban warga yang terdampak bencana dan menghadapi kesulitan akibat genangan air yang melanda pemukiman mereka. Bantuan diberikan melalui Posko Universitas Binawan, Kamis, 6 Maret 2025. </w:t>
      </w:r>
    </w:p>
    <w:p w:rsidR="00000000" w:rsidDel="00000000" w:rsidP="00000000" w:rsidRDefault="00000000" w:rsidRPr="00000000" w14:paraId="0000000C">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Direktur Utama JXB Yunn Bali Mohammad Yusuf mengatakan, kegiatan ini merupakan bentuk aksi cepat tanggap JXB dalam menanggapi bencana yang terjadi di lingkungan. </w:t>
      </w:r>
    </w:p>
    <w:p w:rsidR="00000000" w:rsidDel="00000000" w:rsidP="00000000" w:rsidRDefault="00000000" w:rsidRPr="00000000" w14:paraId="0000000D">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“Kami berharap bantuan ini dapat sedikit membantu masyarakat yang terdampak banjir agar tetap memiliki akses terhadap kebutuhan pangan. Semoga kondisi segera membaik dan masyarakat dapat kembali beraktivitas dengan normal,” ujar beliau. </w:t>
      </w:r>
    </w:p>
    <w:p w:rsidR="00000000" w:rsidDel="00000000" w:rsidP="00000000" w:rsidRDefault="00000000" w:rsidRPr="00000000" w14:paraId="0000000E">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Sebagai BUMD yang bergerak di sektor pariwisata, JXB terus berkomitmen untuk berkontribusi bagi masyarakat, tidak hanya dalam bidang pariwisata tetapi juga dalam aksi sosial dan kemanusiaan. Dengan adanya bantuan ini, diharapkan dapat menginspirasi pihak lain untuk turut serta membantu masyarakat yang sedang membutuhkan.</w:t>
      </w:r>
    </w:p>
    <w:p w:rsidR="00000000" w:rsidDel="00000000" w:rsidP="00000000" w:rsidRDefault="00000000" w:rsidRPr="00000000" w14:paraId="0000000F">
      <w:pPr>
        <w:spacing w:after="240" w:before="240" w:lineRule="auto"/>
        <w:ind w:left="-283.46456692913375"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0">
      <w:pPr>
        <w:spacing w:after="240" w:before="240" w:lineRule="auto"/>
        <w:ind w:left="-283.46456692913375"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widowControl w:val="0"/>
        <w:spacing w:after="240" w:before="240" w:line="229" w:lineRule="auto"/>
        <w:ind w:left="425" w:hanging="708.4645669291338"/>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Tentang Jakarta Experience Board</w:t>
      </w:r>
      <w:r w:rsidDel="00000000" w:rsidR="00000000" w:rsidRPr="00000000">
        <w:rPr>
          <w:rFonts w:ascii="Arial Narrow" w:cs="Arial Narrow" w:eastAsia="Arial Narrow" w:hAnsi="Arial Narrow"/>
          <w:b w:val="1"/>
          <w:rtl w:val="0"/>
        </w:rPr>
        <w:t xml:space="preserve"> </w:t>
      </w:r>
    </w:p>
    <w:p w:rsidR="00000000" w:rsidDel="00000000" w:rsidP="00000000" w:rsidRDefault="00000000" w:rsidRPr="00000000" w14:paraId="00000012">
      <w:pPr>
        <w:widowControl w:val="0"/>
        <w:spacing w:line="228" w:lineRule="auto"/>
        <w:ind w:left="-283.46456692913375" w:right="-13" w:firstLine="0"/>
        <w:jc w:val="both"/>
        <w:rPr>
          <w:rFonts w:ascii="Arial Narrow" w:cs="Arial Narrow" w:eastAsia="Arial Narrow" w:hAnsi="Arial Narrow"/>
          <w:sz w:val="24"/>
          <w:szCs w:val="24"/>
        </w:rPr>
      </w:pPr>
      <w:bookmarkStart w:colFirst="0" w:colLast="0" w:name="_30j0zll" w:id="0"/>
      <w:bookmarkEnd w:id="0"/>
      <w:r w:rsidDel="00000000" w:rsidR="00000000" w:rsidRPr="00000000">
        <w:rPr>
          <w:rFonts w:ascii="Arial Narrow" w:cs="Arial Narrow" w:eastAsia="Arial Narrow" w:hAnsi="Arial Narrow"/>
          <w:rtl w:val="0"/>
        </w:rPr>
        <w:t xml:space="preserve">Jakarta Experience Board adalah </w:t>
      </w:r>
      <w:r w:rsidDel="00000000" w:rsidR="00000000" w:rsidRPr="00000000">
        <w:rPr>
          <w:rFonts w:ascii="Arial Narrow" w:cs="Arial Narrow" w:eastAsia="Arial Narrow" w:hAnsi="Arial Narrow"/>
          <w:i w:val="1"/>
          <w:rtl w:val="0"/>
        </w:rPr>
        <w:t xml:space="preserve">brand</w:t>
      </w:r>
      <w:r w:rsidDel="00000000" w:rsidR="00000000" w:rsidRPr="00000000">
        <w:rPr>
          <w:rFonts w:ascii="Arial Narrow" w:cs="Arial Narrow" w:eastAsia="Arial Narrow" w:hAnsi="Arial Narrow"/>
          <w:rtl w:val="0"/>
        </w:rPr>
        <w:t xml:space="preserve"> dari PT. Jakarta Tourisindo, merupakan Badan Usaha Milik Daerah DKI Jakarta yang bergerak di bidang perhotelan dan pariwisata. Didirikan pada 1996, Jakarta Experience Board (JXB) memiliki unit bisnis perhotelan sebanyak tujuh hotel yang tersebar di DKI Jakarta dan Bogor. Jakarta Experience Board (JXB) memiliki unit bisnis baru di bidang pariwisata yang  meluncurkan program-program inovatif  pariwisata seperti pengelolaan event dan aktivasi ruang publik sebagai bagian dari upaya ekspansi bisnis Jakarta Experience Board. </w:t>
      </w:r>
      <w:r w:rsidDel="00000000" w:rsidR="00000000" w:rsidRPr="00000000">
        <w:pict>
          <v:rect style="width:0.0pt;height:1.5pt" o:hr="t" o:hrstd="t" o:hralign="center" fillcolor="#A0A0A0" stroked="f"/>
        </w:pict>
      </w:r>
      <w:r w:rsidDel="00000000" w:rsidR="00000000" w:rsidRPr="00000000">
        <w:rPr>
          <w:rFonts w:ascii="Arial Narrow" w:cs="Arial Narrow" w:eastAsia="Arial Narrow" w:hAnsi="Arial Narrow"/>
          <w:rtl w:val="0"/>
        </w:rPr>
        <w:t xml:space="preserve">Untuk informasi lebih lanjut silahkan menghubungi kontak di bawah ini: Erik Triadi Corporate Secretary PT Jakarta Tourisindo (Perseroda) pada Nomor 08111-01-2408.</w:t>
      </w:r>
      <w:r w:rsidDel="00000000" w:rsidR="00000000" w:rsidRPr="00000000">
        <w:rPr>
          <w:rtl w:val="0"/>
        </w:rPr>
      </w:r>
    </w:p>
    <w:p w:rsidR="00000000" w:rsidDel="00000000" w:rsidP="00000000" w:rsidRDefault="00000000" w:rsidRPr="00000000" w14:paraId="00000013">
      <w:pPr>
        <w:spacing w:after="240" w:before="240" w:lineRule="auto"/>
        <w:ind w:left="-283.46456692913375" w:firstLine="0"/>
        <w:rPr>
          <w:rFonts w:ascii="Arial Narrow" w:cs="Arial Narrow" w:eastAsia="Arial Narrow" w:hAnsi="Arial Narrow"/>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